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642"/>
        <w:jc w:val="center"/>
        <w:rPr>
          <w:rFonts w:ascii="仿宋" w:hAnsi="仿宋" w:eastAsia="仿宋" w:cs="仿宋"/>
          <w:b/>
          <w:bCs/>
          <w:sz w:val="36"/>
          <w:szCs w:val="36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u w:val="single"/>
          <w:lang w:val="en-US" w:eastAsia="zh-Hans"/>
        </w:rPr>
        <w:t>研究生</w:t>
      </w:r>
      <w:r>
        <w:rPr>
          <w:rFonts w:hint="eastAsia" w:ascii="仿宋" w:hAnsi="仿宋" w:eastAsia="仿宋" w:cs="仿宋"/>
          <w:b/>
          <w:bCs/>
          <w:sz w:val="36"/>
          <w:szCs w:val="36"/>
        </w:rPr>
        <w:t>学位论文</w:t>
      </w: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Hans"/>
        </w:rPr>
        <w:t>中期考核</w:t>
      </w:r>
      <w:r>
        <w:rPr>
          <w:rFonts w:hint="eastAsia" w:ascii="仿宋" w:hAnsi="仿宋" w:eastAsia="仿宋" w:cs="仿宋"/>
          <w:b/>
          <w:bCs/>
          <w:sz w:val="36"/>
          <w:szCs w:val="36"/>
        </w:rPr>
        <w:t>安排</w:t>
      </w:r>
    </w:p>
    <w:p>
      <w:pPr>
        <w:jc w:val="center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第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Hans"/>
        </w:rPr>
        <w:t>九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组</w:t>
      </w:r>
    </w:p>
    <w:p/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一、时间：</w:t>
      </w:r>
      <w:r>
        <w:rPr>
          <w:rFonts w:hint="eastAsia" w:ascii="仿宋" w:hAnsi="仿宋" w:eastAsia="仿宋" w:cs="仿宋"/>
          <w:sz w:val="28"/>
          <w:szCs w:val="28"/>
        </w:rPr>
        <w:t>2023年</w:t>
      </w:r>
      <w:r>
        <w:rPr>
          <w:rFonts w:hint="default" w:ascii="仿宋" w:hAnsi="仿宋" w:eastAsia="仿宋" w:cs="仿宋"/>
          <w:sz w:val="28"/>
          <w:szCs w:val="28"/>
        </w:rPr>
        <w:t>10</w:t>
      </w:r>
      <w:r>
        <w:rPr>
          <w:rFonts w:hint="eastAsia" w:ascii="仿宋" w:hAnsi="仿宋" w:eastAsia="仿宋" w:cs="仿宋"/>
          <w:sz w:val="28"/>
          <w:szCs w:val="28"/>
        </w:rPr>
        <w:t>月</w:t>
      </w:r>
      <w:r>
        <w:rPr>
          <w:rFonts w:hint="default" w:ascii="仿宋" w:hAnsi="仿宋" w:eastAsia="仿宋" w:cs="仿宋"/>
          <w:sz w:val="28"/>
          <w:szCs w:val="28"/>
        </w:rPr>
        <w:t>28</w:t>
      </w:r>
      <w:r>
        <w:rPr>
          <w:rFonts w:hint="eastAsia" w:ascii="仿宋" w:hAnsi="仿宋" w:eastAsia="仿宋" w:cs="仿宋"/>
          <w:sz w:val="28"/>
          <w:szCs w:val="28"/>
        </w:rPr>
        <w:t>日，</w:t>
      </w:r>
      <w:r>
        <w:rPr>
          <w:rFonts w:hint="default" w:ascii="仿宋" w:hAnsi="仿宋" w:eastAsia="仿宋" w:cs="仿宋"/>
          <w:sz w:val="28"/>
          <w:szCs w:val="28"/>
        </w:rPr>
        <w:t>8</w:t>
      </w:r>
      <w:r>
        <w:rPr>
          <w:rFonts w:hint="eastAsia" w:ascii="仿宋" w:hAnsi="仿宋" w:eastAsia="仿宋" w:cs="仿宋"/>
          <w:sz w:val="28"/>
          <w:szCs w:val="28"/>
        </w:rPr>
        <w:t>:</w:t>
      </w:r>
      <w:r>
        <w:rPr>
          <w:rFonts w:hint="default" w:ascii="仿宋" w:hAnsi="仿宋" w:eastAsia="仿宋" w:cs="仿宋"/>
          <w:sz w:val="28"/>
          <w:szCs w:val="28"/>
        </w:rPr>
        <w:t>0</w:t>
      </w:r>
      <w:r>
        <w:rPr>
          <w:rFonts w:hint="eastAsia" w:ascii="仿宋" w:hAnsi="仿宋" w:eastAsia="仿宋" w:cs="仿宋"/>
          <w:sz w:val="28"/>
          <w:szCs w:val="28"/>
        </w:rPr>
        <w:t>0-12:</w:t>
      </w:r>
      <w:r>
        <w:rPr>
          <w:rFonts w:hint="default" w:ascii="仿宋" w:hAnsi="仿宋" w:eastAsia="仿宋" w:cs="仿宋"/>
          <w:sz w:val="28"/>
          <w:szCs w:val="28"/>
        </w:rPr>
        <w:t>0</w:t>
      </w:r>
      <w:r>
        <w:rPr>
          <w:rFonts w:hint="eastAsia" w:ascii="仿宋" w:hAnsi="仿宋" w:eastAsia="仿宋" w:cs="仿宋"/>
          <w:sz w:val="28"/>
          <w:szCs w:val="28"/>
        </w:rPr>
        <w:t>0</w:t>
      </w:r>
    </w:p>
    <w:p>
      <w:pPr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二、地点：</w:t>
      </w:r>
      <w:r>
        <w:rPr>
          <w:rFonts w:hint="default" w:ascii="仿宋" w:hAnsi="仿宋" w:eastAsia="仿宋" w:cs="仿宋"/>
          <w:sz w:val="28"/>
          <w:szCs w:val="28"/>
        </w:rPr>
        <w:t>16-419</w:t>
      </w:r>
      <w:bookmarkStart w:id="0" w:name="_GoBack"/>
      <w:bookmarkEnd w:id="0"/>
    </w:p>
    <w:p>
      <w:pPr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三、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Hans"/>
        </w:rPr>
        <w:t>中期考核小组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1"/>
        <w:gridCol w:w="1784"/>
        <w:gridCol w:w="3216"/>
        <w:gridCol w:w="2131"/>
      </w:tblGrid>
      <w:tr>
        <w:trPr>
          <w:trHeight w:val="510" w:hRule="atLeast"/>
        </w:trPr>
        <w:tc>
          <w:tcPr>
            <w:tcW w:w="139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姓名</w:t>
            </w:r>
          </w:p>
        </w:tc>
        <w:tc>
          <w:tcPr>
            <w:tcW w:w="178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职称</w:t>
            </w:r>
          </w:p>
        </w:tc>
        <w:tc>
          <w:tcPr>
            <w:tcW w:w="321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工作单位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备注</w:t>
            </w:r>
          </w:p>
        </w:tc>
      </w:tr>
      <w:tr>
        <w:trPr>
          <w:trHeight w:val="510" w:hRule="atLeast"/>
        </w:trPr>
        <w:tc>
          <w:tcPr>
            <w:tcW w:w="139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李庆功</w:t>
            </w:r>
          </w:p>
        </w:tc>
        <w:tc>
          <w:tcPr>
            <w:tcW w:w="178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教授</w:t>
            </w:r>
          </w:p>
        </w:tc>
        <w:tc>
          <w:tcPr>
            <w:tcW w:w="321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浙江师范大学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组长</w:t>
            </w:r>
          </w:p>
        </w:tc>
      </w:tr>
      <w:tr>
        <w:trPr>
          <w:trHeight w:val="510" w:hRule="atLeast"/>
        </w:trPr>
        <w:tc>
          <w:tcPr>
            <w:tcW w:w="139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徐继红</w:t>
            </w:r>
          </w:p>
        </w:tc>
        <w:tc>
          <w:tcPr>
            <w:tcW w:w="178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副研究员</w:t>
            </w:r>
          </w:p>
        </w:tc>
        <w:tc>
          <w:tcPr>
            <w:tcW w:w="321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国家卫健委科学技术研究所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</w:p>
        </w:tc>
      </w:tr>
      <w:tr>
        <w:trPr>
          <w:trHeight w:val="510" w:hRule="atLeast"/>
        </w:trPr>
        <w:tc>
          <w:tcPr>
            <w:tcW w:w="1391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姚静静</w:t>
            </w:r>
          </w:p>
        </w:tc>
        <w:tc>
          <w:tcPr>
            <w:tcW w:w="178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Hans" w:bidi="ar-SA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副教授</w:t>
            </w:r>
          </w:p>
        </w:tc>
        <w:tc>
          <w:tcPr>
            <w:tcW w:w="321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Hans" w:bidi="ar-SA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浙江师范大学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</w:p>
        </w:tc>
      </w:tr>
    </w:tbl>
    <w:p>
      <w:pPr>
        <w:rPr>
          <w:rFonts w:hint="eastAsia" w:ascii="仿宋" w:hAnsi="仿宋" w:eastAsia="仿宋" w:cs="仿宋"/>
          <w:b/>
          <w:bCs/>
          <w:sz w:val="21"/>
          <w:szCs w:val="21"/>
        </w:rPr>
      </w:pP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四、秘书：</w:t>
      </w:r>
      <w:r>
        <w:rPr>
          <w:rFonts w:hint="eastAsia" w:ascii="仿宋" w:hAnsi="仿宋" w:eastAsia="仿宋" w:cs="仿宋"/>
          <w:sz w:val="28"/>
          <w:szCs w:val="28"/>
        </w:rPr>
        <w:t>陈子康（长号：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18792200802</w:t>
      </w:r>
      <w:r>
        <w:rPr>
          <w:rFonts w:hint="eastAsia" w:ascii="仿宋" w:hAnsi="仿宋" w:eastAsia="仿宋" w:cs="仿宋"/>
          <w:sz w:val="28"/>
          <w:szCs w:val="28"/>
        </w:rPr>
        <w:t>，邮箱：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fldChar w:fldCharType="begin"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instrText xml:space="preserve"> HYPERLINK "mailto:18792200802@163.com" </w:instrTex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fldChar w:fldCharType="separate"/>
      </w:r>
      <w:r>
        <w:rPr>
          <w:rFonts w:hint="eastAsia" w:ascii="仿宋" w:hAnsi="仿宋" w:eastAsia="仿宋" w:cs="仿宋"/>
          <w:sz w:val="28"/>
          <w:szCs w:val="28"/>
        </w:rPr>
        <w:t>18792200802@163.com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fldChar w:fldCharType="end"/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）</w:t>
      </w:r>
    </w:p>
    <w:p>
      <w:pPr>
        <w:spacing w:before="156" w:beforeLines="5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五、参加答辩研究生</w:t>
      </w:r>
    </w:p>
    <w:tbl>
      <w:tblPr>
        <w:tblStyle w:val="6"/>
        <w:tblW w:w="728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5"/>
        <w:gridCol w:w="1213"/>
        <w:gridCol w:w="1033"/>
        <w:gridCol w:w="4288"/>
      </w:tblGrid>
      <w:tr>
        <w:trPr>
          <w:trHeight w:val="398" w:hRule="atLeast"/>
          <w:jc w:val="center"/>
        </w:trPr>
        <w:tc>
          <w:tcPr>
            <w:tcW w:w="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序号</w:t>
            </w:r>
          </w:p>
        </w:tc>
        <w:tc>
          <w:tcPr>
            <w:tcW w:w="121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姓名</w:t>
            </w:r>
          </w:p>
        </w:tc>
        <w:tc>
          <w:tcPr>
            <w:tcW w:w="103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导师</w:t>
            </w:r>
          </w:p>
        </w:tc>
        <w:tc>
          <w:tcPr>
            <w:tcW w:w="428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学位论文题目</w:t>
            </w:r>
          </w:p>
        </w:tc>
      </w:tr>
      <w:tr>
        <w:trPr>
          <w:jc w:val="center"/>
        </w:trPr>
        <w:tc>
          <w:tcPr>
            <w:tcW w:w="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1</w:t>
            </w:r>
          </w:p>
        </w:tc>
        <w:tc>
          <w:tcPr>
            <w:tcW w:w="121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周怡彤</w:t>
            </w:r>
          </w:p>
        </w:tc>
        <w:tc>
          <w:tcPr>
            <w:tcW w:w="103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谢瑞波</w:t>
            </w:r>
          </w:p>
        </w:tc>
        <w:tc>
          <w:tcPr>
            <w:tcW w:w="428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小学儿童字词阅读流畅性和准确性对汉字听写的影响：语素意识和正字法意识的中介作用</w:t>
            </w:r>
          </w:p>
        </w:tc>
      </w:tr>
      <w:tr>
        <w:trPr>
          <w:jc w:val="center"/>
        </w:trPr>
        <w:tc>
          <w:tcPr>
            <w:tcW w:w="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2</w:t>
            </w:r>
          </w:p>
        </w:tc>
        <w:tc>
          <w:tcPr>
            <w:tcW w:w="121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张依人</w:t>
            </w:r>
          </w:p>
        </w:tc>
        <w:tc>
          <w:tcPr>
            <w:tcW w:w="103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谢瑞波</w:t>
            </w:r>
          </w:p>
        </w:tc>
        <w:tc>
          <w:tcPr>
            <w:tcW w:w="428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幸福倾向、学习投入对中职生主观幸福感的影响及干预研究</w:t>
            </w:r>
          </w:p>
        </w:tc>
      </w:tr>
      <w:tr>
        <w:trPr>
          <w:jc w:val="center"/>
        </w:trPr>
        <w:tc>
          <w:tcPr>
            <w:tcW w:w="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3</w:t>
            </w:r>
          </w:p>
        </w:tc>
        <w:tc>
          <w:tcPr>
            <w:tcW w:w="121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方园园</w:t>
            </w:r>
          </w:p>
        </w:tc>
        <w:tc>
          <w:tcPr>
            <w:tcW w:w="103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谢瑞波</w:t>
            </w:r>
          </w:p>
        </w:tc>
        <w:tc>
          <w:tcPr>
            <w:tcW w:w="428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小学儿童汉语成语理解的发展及语素意识的影响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4</w:t>
            </w:r>
          </w:p>
        </w:tc>
        <w:tc>
          <w:tcPr>
            <w:tcW w:w="121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王思怡</w:t>
            </w:r>
          </w:p>
        </w:tc>
        <w:tc>
          <w:tcPr>
            <w:tcW w:w="103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谢瑞波</w:t>
            </w:r>
          </w:p>
        </w:tc>
        <w:tc>
          <w:tcPr>
            <w:tcW w:w="428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害人伤己：儿童期父母冲突对青少年  欺凌与非自杀性自伤行为的影响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5</w:t>
            </w:r>
          </w:p>
        </w:tc>
        <w:tc>
          <w:tcPr>
            <w:tcW w:w="121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喻艳玲</w:t>
            </w:r>
          </w:p>
        </w:tc>
        <w:tc>
          <w:tcPr>
            <w:tcW w:w="103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谢瑞波</w:t>
            </w:r>
          </w:p>
        </w:tc>
        <w:tc>
          <w:tcPr>
            <w:tcW w:w="428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小学低年级汉语儿童阅读流畅性的发展及元语言意识的影响：基于横断和纵向追踪视角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6</w:t>
            </w:r>
          </w:p>
        </w:tc>
        <w:tc>
          <w:tcPr>
            <w:tcW w:w="121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唐凯</w:t>
            </w:r>
          </w:p>
        </w:tc>
        <w:tc>
          <w:tcPr>
            <w:tcW w:w="103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李伟健</w:t>
            </w:r>
          </w:p>
        </w:tc>
        <w:tc>
          <w:tcPr>
            <w:tcW w:w="428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重读和测试期望对元理解的影响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7</w:t>
            </w:r>
          </w:p>
        </w:tc>
        <w:tc>
          <w:tcPr>
            <w:tcW w:w="1213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储航</w:t>
            </w:r>
          </w:p>
        </w:tc>
        <w:tc>
          <w:tcPr>
            <w:tcW w:w="103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李伟健</w:t>
            </w:r>
          </w:p>
        </w:tc>
        <w:tc>
          <w:tcPr>
            <w:tcW w:w="428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情绪调节策略和情绪调节自我效能感对网 络游戏成瘾大学生反应抑制的影响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Hans"/>
              </w:rPr>
              <w:t>8</w:t>
            </w:r>
          </w:p>
        </w:tc>
        <w:tc>
          <w:tcPr>
            <w:tcW w:w="121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叶嘉瑶</w:t>
            </w:r>
          </w:p>
        </w:tc>
        <w:tc>
          <w:tcPr>
            <w:tcW w:w="103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陈双</w:t>
            </w:r>
          </w:p>
        </w:tc>
        <w:tc>
          <w:tcPr>
            <w:tcW w:w="428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家庭和幼儿园语言环境与5-6岁幼儿叙述能力的关系研究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Hans"/>
              </w:rPr>
              <w:t>9</w:t>
            </w:r>
          </w:p>
        </w:tc>
        <w:tc>
          <w:tcPr>
            <w:tcW w:w="121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陈可琛</w:t>
            </w:r>
          </w:p>
        </w:tc>
        <w:tc>
          <w:tcPr>
            <w:tcW w:w="103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刘万伦</w:t>
            </w:r>
          </w:p>
        </w:tc>
        <w:tc>
          <w:tcPr>
            <w:tcW w:w="428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因果框架的呈现方式和比较项的数量对幼儿关系类别学习的影响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Hans"/>
              </w:rPr>
              <w:t>10</w:t>
            </w:r>
          </w:p>
        </w:tc>
        <w:tc>
          <w:tcPr>
            <w:tcW w:w="121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江燕娟</w:t>
            </w:r>
          </w:p>
        </w:tc>
        <w:tc>
          <w:tcPr>
            <w:tcW w:w="103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刘万伦</w:t>
            </w:r>
          </w:p>
        </w:tc>
        <w:tc>
          <w:tcPr>
            <w:tcW w:w="428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选择性注意对幼儿类别学习的影响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Hans"/>
              </w:rPr>
              <w:t>11</w:t>
            </w:r>
          </w:p>
        </w:tc>
        <w:tc>
          <w:tcPr>
            <w:tcW w:w="121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巩玉萍</w:t>
            </w:r>
          </w:p>
        </w:tc>
        <w:tc>
          <w:tcPr>
            <w:tcW w:w="103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刘万伦</w:t>
            </w:r>
          </w:p>
        </w:tc>
        <w:tc>
          <w:tcPr>
            <w:tcW w:w="428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情绪理解任务类型及言语水平对3-4岁幼儿情绪识别的影响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Hans"/>
              </w:rPr>
              <w:t>12</w:t>
            </w:r>
          </w:p>
        </w:tc>
        <w:tc>
          <w:tcPr>
            <w:tcW w:w="121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金灿</w:t>
            </w:r>
          </w:p>
        </w:tc>
        <w:tc>
          <w:tcPr>
            <w:tcW w:w="103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李伟健</w:t>
            </w:r>
          </w:p>
        </w:tc>
        <w:tc>
          <w:tcPr>
            <w:tcW w:w="428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孝道信念对青少年自伤行为的影响：消极结果预期的中介作用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Hans"/>
              </w:rPr>
              <w:t>13</w:t>
            </w:r>
          </w:p>
        </w:tc>
        <w:tc>
          <w:tcPr>
            <w:tcW w:w="121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黄玉欣</w:t>
            </w:r>
          </w:p>
        </w:tc>
        <w:tc>
          <w:tcPr>
            <w:tcW w:w="103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李伟健</w:t>
            </w:r>
          </w:p>
        </w:tc>
        <w:tc>
          <w:tcPr>
            <w:tcW w:w="428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社会排斥对大学生非自杀性自伤行为的影响及其内在机制：基于虚拟现实技术的实验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5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Hans"/>
              </w:rPr>
              <w:t>14</w:t>
            </w:r>
          </w:p>
        </w:tc>
        <w:tc>
          <w:tcPr>
            <w:tcW w:w="1213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杨素敏</w:t>
            </w:r>
          </w:p>
        </w:tc>
        <w:tc>
          <w:tcPr>
            <w:tcW w:w="1033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褚晓伟</w:t>
            </w:r>
          </w:p>
        </w:tc>
        <w:tc>
          <w:tcPr>
            <w:tcW w:w="4288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感知社会善念对网络欺凌旁观者行为的影响：情绪体验的中介作用和受害者情绪表达的调节作用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5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Hans"/>
              </w:rPr>
              <w:t>15</w:t>
            </w:r>
          </w:p>
        </w:tc>
        <w:tc>
          <w:tcPr>
            <w:tcW w:w="1213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尹萌</w:t>
            </w:r>
          </w:p>
        </w:tc>
        <w:tc>
          <w:tcPr>
            <w:tcW w:w="1033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褚晓伟</w:t>
            </w:r>
          </w:p>
        </w:tc>
        <w:tc>
          <w:tcPr>
            <w:tcW w:w="4288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违规者内疚表达对第三方惩罚的影响：道德义愤的中介作用及群体身份的调节作用</w:t>
            </w:r>
          </w:p>
        </w:tc>
      </w:tr>
    </w:tbl>
    <w:p>
      <w:pPr>
        <w:ind w:firstLine="642"/>
        <w:jc w:val="center"/>
        <w:rPr>
          <w:rFonts w:ascii="仿宋" w:hAnsi="仿宋" w:eastAsia="仿宋" w:cs="仿宋"/>
          <w:b/>
          <w:bCs/>
          <w:sz w:val="36"/>
          <w:szCs w:val="36"/>
          <w:u w:val="single"/>
        </w:rPr>
      </w:pPr>
    </w:p>
    <w:p>
      <w:pPr>
        <w:ind w:firstLine="642"/>
        <w:jc w:val="center"/>
        <w:rPr>
          <w:rFonts w:ascii="仿宋" w:hAnsi="仿宋" w:eastAsia="仿宋" w:cs="仿宋"/>
          <w:b/>
          <w:bCs/>
          <w:sz w:val="36"/>
          <w:szCs w:val="36"/>
          <w:u w:val="single"/>
        </w:rPr>
        <w:sectPr>
          <w:pgSz w:w="11906" w:h="16838"/>
          <w:pgMar w:top="1213" w:right="1800" w:bottom="1213" w:left="1800" w:header="851" w:footer="992" w:gutter="0"/>
          <w:cols w:space="0" w:num="1"/>
          <w:docGrid w:type="lines" w:linePitch="312" w:charSpace="0"/>
        </w:sectPr>
      </w:pPr>
    </w:p>
    <w:p>
      <w:pPr>
        <w:ind w:firstLine="6440" w:firstLineChars="2300"/>
        <w:rPr>
          <w:rFonts w:ascii="仿宋" w:hAnsi="仿宋" w:eastAsia="仿宋" w:cs="仿宋"/>
          <w:sz w:val="28"/>
          <w:szCs w:val="28"/>
        </w:rPr>
      </w:pPr>
    </w:p>
    <w:p>
      <w:pPr>
        <w:ind w:firstLine="6440" w:firstLineChars="23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心理学院</w:t>
      </w:r>
    </w:p>
    <w:p>
      <w:pPr>
        <w:ind w:firstLine="210" w:firstLineChars="100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Cs w:val="21"/>
        </w:rPr>
        <w:t xml:space="preserve">                                                      </w:t>
      </w:r>
      <w:r>
        <w:rPr>
          <w:rFonts w:hint="eastAsia" w:ascii="仿宋" w:hAnsi="仿宋" w:eastAsia="仿宋" w:cs="仿宋"/>
          <w:sz w:val="28"/>
          <w:szCs w:val="28"/>
        </w:rPr>
        <w:t xml:space="preserve"> 2023年</w:t>
      </w:r>
      <w:r>
        <w:rPr>
          <w:rFonts w:hint="default" w:ascii="仿宋" w:hAnsi="仿宋" w:eastAsia="仿宋" w:cs="仿宋"/>
          <w:sz w:val="28"/>
          <w:szCs w:val="28"/>
        </w:rPr>
        <w:t>10</w:t>
      </w:r>
      <w:r>
        <w:rPr>
          <w:rFonts w:hint="eastAsia" w:ascii="仿宋" w:hAnsi="仿宋" w:eastAsia="仿宋" w:cs="仿宋"/>
          <w:sz w:val="28"/>
          <w:szCs w:val="28"/>
        </w:rPr>
        <w:t>月</w:t>
      </w:r>
      <w:r>
        <w:rPr>
          <w:rFonts w:ascii="仿宋" w:hAnsi="仿宋" w:eastAsia="仿宋" w:cs="仿宋"/>
          <w:sz w:val="28"/>
          <w:szCs w:val="28"/>
        </w:rPr>
        <w:t>25</w:t>
      </w:r>
      <w:r>
        <w:rPr>
          <w:rFonts w:hint="eastAsia" w:ascii="仿宋" w:hAnsi="仿宋" w:eastAsia="仿宋" w:cs="仿宋"/>
          <w:sz w:val="28"/>
          <w:szCs w:val="28"/>
        </w:rPr>
        <w:t>日</w:t>
      </w:r>
    </w:p>
    <w:p>
      <w:pPr>
        <w:rPr>
          <w:rFonts w:hint="eastAsia" w:eastAsiaTheme="minorEastAsia"/>
          <w:lang w:val="en-US" w:eastAsia="zh-Hans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PingFangHK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804030504040204"/>
    <w:charset w:val="00"/>
    <w:family w:val="auto"/>
    <w:pitch w:val="default"/>
    <w:sig w:usb0="E1002AFF" w:usb1="C000605B" w:usb2="00000029" w:usb3="00000000" w:csb0="200101FF" w:csb1="2028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方正小标宋简体">
    <w:altName w:val="汉仪书宋二KW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F3F1765"/>
    <w:rsid w:val="4D7DD986"/>
    <w:rsid w:val="5FDEC231"/>
    <w:rsid w:val="6FDF51AD"/>
    <w:rsid w:val="74E54B38"/>
    <w:rsid w:val="BFBC3251"/>
    <w:rsid w:val="D7EFA5BE"/>
    <w:rsid w:val="EF3F1765"/>
    <w:rsid w:val="F7EC4109"/>
    <w:rsid w:val="FD9F3117"/>
    <w:rsid w:val="FDABD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  <w:style w:type="character" w:styleId="4">
    <w:name w:val="Hyperlink"/>
    <w:basedOn w:val="3"/>
    <w:qFormat/>
    <w:uiPriority w:val="0"/>
    <w:rPr>
      <w:color w:val="0000FF"/>
      <w:u w:val="single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p1"/>
    <w:basedOn w:val="1"/>
    <w:qFormat/>
    <w:uiPriority w:val="0"/>
    <w:pPr>
      <w:spacing w:before="0" w:beforeAutospacing="0" w:after="0" w:afterAutospacing="0" w:line="380" w:lineRule="atLeast"/>
      <w:ind w:left="0" w:right="0"/>
      <w:jc w:val="left"/>
    </w:pPr>
    <w:rPr>
      <w:rFonts w:ascii="Helvetica Neue" w:hAnsi="Helvetica Neue" w:eastAsia="Helvetica Neue" w:cs="Helvetica Neue"/>
      <w:color w:val="000000"/>
      <w:kern w:val="0"/>
      <w:sz w:val="26"/>
      <w:szCs w:val="26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Office_3.6.1.5768_F1E327BC-269C-435d-A152-05C5408002CA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2023-10-25T02:56:00Z</dcterms:created>
  <dc:creator>apple</dc:creator>
  <cp:lastModifiedBy>apple</cp:lastModifiedBy>
  <dcterms:modified xsi:type="dcterms:W3CDTF">2023-10-26T16:29:26Z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2052-3.6.1.5768</vt:lpwstr>
  </property>
</Properties>
</file>